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AB" w:rsidRPr="00B931F0" w:rsidRDefault="00413EAB" w:rsidP="00413EAB">
      <w:pPr>
        <w:pStyle w:val="Nadpis7"/>
        <w:tabs>
          <w:tab w:val="left" w:pos="9072"/>
        </w:tabs>
        <w:ind w:right="-2"/>
        <w:jc w:val="center"/>
        <w:rPr>
          <w:rFonts w:cs="Arial"/>
          <w:sz w:val="24"/>
          <w:szCs w:val="24"/>
          <w:lang w:val="sk-SK"/>
        </w:rPr>
      </w:pPr>
      <w:r w:rsidRPr="00B931F0">
        <w:rPr>
          <w:rFonts w:cs="Arial"/>
          <w:sz w:val="24"/>
          <w:szCs w:val="24"/>
          <w:lang w:val="sk-SK"/>
        </w:rPr>
        <w:t>O t á z k y</w:t>
      </w:r>
    </w:p>
    <w:p w:rsidR="00413EAB" w:rsidRPr="00B931F0" w:rsidRDefault="00413EAB" w:rsidP="00413EAB">
      <w:pPr>
        <w:pStyle w:val="Nadpis7"/>
        <w:tabs>
          <w:tab w:val="left" w:pos="9072"/>
        </w:tabs>
        <w:spacing w:before="120"/>
        <w:jc w:val="center"/>
        <w:rPr>
          <w:rFonts w:cs="Arial"/>
          <w:sz w:val="24"/>
          <w:szCs w:val="24"/>
          <w:lang w:val="sk-SK"/>
        </w:rPr>
      </w:pPr>
      <w:r w:rsidRPr="00B931F0">
        <w:rPr>
          <w:rFonts w:cs="Arial"/>
          <w:sz w:val="24"/>
          <w:szCs w:val="24"/>
          <w:lang w:val="sk-SK"/>
        </w:rPr>
        <w:t xml:space="preserve">na štátnu skúšku z predmetu </w:t>
      </w:r>
      <w:r>
        <w:rPr>
          <w:rFonts w:cs="Arial"/>
          <w:sz w:val="24"/>
          <w:szCs w:val="24"/>
          <w:lang w:val="sk-SK"/>
        </w:rPr>
        <w:t>Finančné právo</w:t>
      </w:r>
      <w:r w:rsidRPr="00B931F0">
        <w:rPr>
          <w:rFonts w:cs="Arial"/>
          <w:sz w:val="24"/>
          <w:szCs w:val="24"/>
          <w:lang w:val="sk-SK"/>
        </w:rPr>
        <w:t xml:space="preserve"> </w:t>
      </w:r>
    </w:p>
    <w:p w:rsidR="00413EAB" w:rsidRPr="00B931F0" w:rsidRDefault="00413EAB" w:rsidP="00413EAB">
      <w:pPr>
        <w:pStyle w:val="Nadpis7"/>
        <w:tabs>
          <w:tab w:val="left" w:pos="9072"/>
        </w:tabs>
        <w:jc w:val="center"/>
        <w:rPr>
          <w:rFonts w:cs="Arial"/>
          <w:sz w:val="24"/>
          <w:szCs w:val="24"/>
          <w:lang w:val="sk-SK"/>
        </w:rPr>
      </w:pPr>
      <w:r w:rsidRPr="00B931F0">
        <w:rPr>
          <w:rFonts w:cs="Arial"/>
          <w:sz w:val="24"/>
          <w:szCs w:val="24"/>
          <w:lang w:val="sk-SK"/>
        </w:rPr>
        <w:t xml:space="preserve"> v</w:t>
      </w:r>
      <w:r>
        <w:rPr>
          <w:rFonts w:cs="Arial"/>
          <w:sz w:val="24"/>
          <w:szCs w:val="24"/>
          <w:lang w:val="sk-SK"/>
        </w:rPr>
        <w:t> akademickom roku</w:t>
      </w:r>
      <w:r w:rsidRPr="00B931F0">
        <w:rPr>
          <w:rFonts w:cs="Arial"/>
          <w:sz w:val="24"/>
          <w:szCs w:val="24"/>
          <w:lang w:val="sk-SK"/>
        </w:rPr>
        <w:t xml:space="preserve"> 201</w:t>
      </w:r>
      <w:r w:rsidR="00E15D5F">
        <w:rPr>
          <w:rFonts w:cs="Arial"/>
          <w:sz w:val="24"/>
          <w:szCs w:val="24"/>
          <w:lang w:val="sk-SK"/>
        </w:rPr>
        <w:t>9</w:t>
      </w:r>
      <w:r w:rsidRPr="00B931F0">
        <w:rPr>
          <w:rFonts w:cs="Arial"/>
          <w:sz w:val="24"/>
          <w:szCs w:val="24"/>
          <w:lang w:val="sk-SK"/>
        </w:rPr>
        <w:t>/20</w:t>
      </w:r>
      <w:r w:rsidR="00E15D5F">
        <w:rPr>
          <w:rFonts w:cs="Arial"/>
          <w:sz w:val="24"/>
          <w:szCs w:val="24"/>
          <w:lang w:val="sk-SK"/>
        </w:rPr>
        <w:t>20</w:t>
      </w:r>
    </w:p>
    <w:p w:rsidR="00413EAB" w:rsidRPr="00B931F0" w:rsidRDefault="00413EAB" w:rsidP="00413EAB">
      <w:pPr>
        <w:tabs>
          <w:tab w:val="left" w:pos="9072"/>
        </w:tabs>
        <w:ind w:right="-2"/>
        <w:jc w:val="center"/>
        <w:rPr>
          <w:rFonts w:cs="Arial"/>
          <w:szCs w:val="24"/>
        </w:rPr>
      </w:pPr>
    </w:p>
    <w:p w:rsidR="00684287" w:rsidRDefault="00684287" w:rsidP="00413EAB">
      <w:pPr>
        <w:tabs>
          <w:tab w:val="left" w:pos="9072"/>
        </w:tabs>
        <w:ind w:right="-2"/>
        <w:rPr>
          <w:rFonts w:cs="Arial"/>
          <w:b/>
          <w:szCs w:val="24"/>
        </w:rPr>
      </w:pPr>
    </w:p>
    <w:p w:rsidR="00413EAB" w:rsidRPr="00B931F0" w:rsidRDefault="00413EAB" w:rsidP="00413EAB">
      <w:pPr>
        <w:tabs>
          <w:tab w:val="left" w:pos="9072"/>
        </w:tabs>
        <w:ind w:right="-2"/>
        <w:jc w:val="center"/>
        <w:rPr>
          <w:rFonts w:cs="Arial"/>
          <w:b/>
          <w:szCs w:val="24"/>
        </w:rPr>
      </w:pP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 w:rsidRPr="00B931F0">
        <w:rPr>
          <w:rFonts w:cs="Arial"/>
          <w:snapToGrid w:val="0"/>
          <w:szCs w:val="24"/>
          <w:lang w:eastAsia="cs-CZ"/>
        </w:rPr>
        <w:t xml:space="preserve">Podstata, pojem a funkcie daní a poplatkov. </w:t>
      </w:r>
      <w:r>
        <w:rPr>
          <w:rFonts w:cs="Arial"/>
          <w:snapToGrid w:val="0"/>
          <w:szCs w:val="24"/>
          <w:lang w:eastAsia="cs-CZ"/>
        </w:rPr>
        <w:t>Č</w:t>
      </w:r>
      <w:r w:rsidRPr="00B931F0">
        <w:rPr>
          <w:rFonts w:cs="Arial"/>
          <w:snapToGrid w:val="0"/>
          <w:szCs w:val="24"/>
          <w:lang w:eastAsia="cs-CZ"/>
        </w:rPr>
        <w:t>lenenia daní a poplatkov</w:t>
      </w:r>
    </w:p>
    <w:p w:rsidR="00413EAB" w:rsidRPr="00413EAB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 w:rsidRPr="00B931F0">
        <w:rPr>
          <w:rFonts w:cs="Arial"/>
          <w:snapToGrid w:val="0"/>
          <w:szCs w:val="24"/>
          <w:lang w:eastAsia="cs-CZ"/>
        </w:rPr>
        <w:t xml:space="preserve">Daňová sústava a daňový systém v SR, právne zakotvenie a členenie </w:t>
      </w:r>
    </w:p>
    <w:p w:rsidR="00413EAB" w:rsidRPr="00413EAB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>
        <w:rPr>
          <w:rFonts w:cs="Arial"/>
          <w:snapToGrid w:val="0"/>
          <w:szCs w:val="24"/>
          <w:lang w:eastAsia="cs-CZ"/>
        </w:rPr>
        <w:t>P</w:t>
      </w:r>
      <w:r w:rsidRPr="00B931F0">
        <w:rPr>
          <w:rFonts w:cs="Arial"/>
          <w:snapToGrid w:val="0"/>
          <w:szCs w:val="24"/>
          <w:lang w:eastAsia="cs-CZ"/>
        </w:rPr>
        <w:t xml:space="preserve">ramene daňového práva 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 w:rsidRPr="00B931F0">
        <w:rPr>
          <w:rFonts w:cs="Arial"/>
          <w:snapToGrid w:val="0"/>
          <w:szCs w:val="24"/>
          <w:lang w:eastAsia="cs-CZ"/>
        </w:rPr>
        <w:t>Zásady správy daní a ich všeobecná charakteristika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 w:rsidRPr="00B931F0">
        <w:rPr>
          <w:rFonts w:cs="Arial"/>
          <w:snapToGrid w:val="0"/>
          <w:szCs w:val="24"/>
          <w:lang w:eastAsia="cs-CZ"/>
        </w:rPr>
        <w:t xml:space="preserve">Zachovanie daňového tajomstva pri správe daní </w:t>
      </w:r>
    </w:p>
    <w:p w:rsidR="00413EAB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snapToGrid w:val="0"/>
          <w:szCs w:val="24"/>
          <w:lang w:eastAsia="cs-CZ"/>
        </w:rPr>
      </w:pPr>
      <w:r>
        <w:rPr>
          <w:rFonts w:cs="Arial"/>
          <w:snapToGrid w:val="0"/>
          <w:szCs w:val="24"/>
          <w:lang w:eastAsia="cs-CZ"/>
        </w:rPr>
        <w:t>Zastupovanie pri správe daní</w:t>
      </w:r>
    </w:p>
    <w:p w:rsidR="00413EAB" w:rsidRPr="00684287" w:rsidRDefault="00413EAB" w:rsidP="00684287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bCs/>
          <w:szCs w:val="24"/>
        </w:rPr>
        <w:t>Podania pri správe daní – všeobecná charakteristika</w:t>
      </w:r>
      <w:r w:rsidR="00684287">
        <w:rPr>
          <w:rFonts w:cs="Arial"/>
          <w:bCs/>
          <w:szCs w:val="24"/>
        </w:rPr>
        <w:t>, d</w:t>
      </w:r>
      <w:r w:rsidRPr="00684287">
        <w:rPr>
          <w:rFonts w:cs="Arial"/>
          <w:bCs/>
          <w:szCs w:val="24"/>
        </w:rPr>
        <w:t>oručovanie  pri správe daní</w:t>
      </w:r>
    </w:p>
    <w:p w:rsidR="00413EAB" w:rsidRPr="00413EAB" w:rsidRDefault="00684287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="00413EAB" w:rsidRPr="00B931F0">
        <w:rPr>
          <w:rFonts w:cs="Arial"/>
          <w:bCs/>
          <w:szCs w:val="24"/>
        </w:rPr>
        <w:t xml:space="preserve">ostup správcu dane pri miestnom zisťovaní. </w:t>
      </w:r>
      <w:r>
        <w:rPr>
          <w:rFonts w:cs="Arial"/>
          <w:bCs/>
          <w:szCs w:val="24"/>
        </w:rPr>
        <w:t>Predbežné opatrenia.</w:t>
      </w:r>
    </w:p>
    <w:p w:rsidR="00413EAB" w:rsidRPr="00413EAB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bCs/>
          <w:szCs w:val="24"/>
        </w:rPr>
        <w:t>Postup  pri daňovej kontrole a pri určení dane podľa pomôcok</w:t>
      </w:r>
    </w:p>
    <w:p w:rsidR="00413EAB" w:rsidRPr="00413EAB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bCs/>
          <w:szCs w:val="24"/>
        </w:rPr>
        <w:t>Nazeranie do spisov a dokazovanie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snapToGrid w:val="0"/>
          <w:szCs w:val="24"/>
          <w:lang w:eastAsia="cs-CZ"/>
        </w:rPr>
        <w:t>Začatie daňového konania a jeho účinky. Lehoty na rozhodnutie a opatrenia proti nečinnosti</w:t>
      </w:r>
      <w:r w:rsidR="0056255B">
        <w:rPr>
          <w:rFonts w:cs="Arial"/>
          <w:snapToGrid w:val="0"/>
          <w:szCs w:val="24"/>
          <w:lang w:eastAsia="cs-CZ"/>
        </w:rPr>
        <w:t>. Prerušenie a zastavenie daňového konania.</w:t>
      </w:r>
      <w:r w:rsidRPr="00B931F0">
        <w:rPr>
          <w:rFonts w:cs="Arial"/>
          <w:snapToGrid w:val="0"/>
          <w:szCs w:val="24"/>
          <w:lang w:eastAsia="cs-CZ"/>
        </w:rPr>
        <w:t xml:space="preserve"> </w:t>
      </w:r>
    </w:p>
    <w:p w:rsidR="00413EAB" w:rsidRP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snapToGrid w:val="0"/>
          <w:szCs w:val="24"/>
          <w:lang w:eastAsia="cs-CZ"/>
        </w:rPr>
        <w:t>Rozhodnutia pri správe daní, ich podstata, druhy, náležitosti</w:t>
      </w:r>
      <w:r w:rsidRPr="00B931F0">
        <w:rPr>
          <w:rFonts w:cs="Arial"/>
          <w:bCs/>
          <w:szCs w:val="24"/>
        </w:rPr>
        <w:t>, p</w:t>
      </w:r>
      <w:r w:rsidRPr="00B931F0">
        <w:rPr>
          <w:rFonts w:cs="Arial"/>
          <w:snapToGrid w:val="0"/>
          <w:szCs w:val="24"/>
          <w:lang w:eastAsia="cs-CZ"/>
        </w:rPr>
        <w:t xml:space="preserve">rávoplatnosť a vykonateľnosť 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snapToGrid w:val="0"/>
          <w:szCs w:val="24"/>
          <w:lang w:eastAsia="cs-CZ"/>
        </w:rPr>
        <w:t>Vyrubovacie konanie</w:t>
      </w:r>
      <w:r w:rsidRPr="00B931F0">
        <w:rPr>
          <w:rFonts w:cs="Arial"/>
          <w:bCs/>
          <w:szCs w:val="24"/>
        </w:rPr>
        <w:t xml:space="preserve">. </w:t>
      </w:r>
      <w:r w:rsidR="0056255B">
        <w:rPr>
          <w:rFonts w:cs="Arial"/>
          <w:bCs/>
          <w:szCs w:val="24"/>
        </w:rPr>
        <w:t xml:space="preserve">Skrátené vyrubovacie konanie. </w:t>
      </w:r>
      <w:r w:rsidRPr="00B931F0">
        <w:rPr>
          <w:rFonts w:cs="Arial"/>
          <w:bCs/>
          <w:szCs w:val="24"/>
        </w:rPr>
        <w:t xml:space="preserve">Zánik práva vyrubiť daň. 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bCs/>
          <w:szCs w:val="24"/>
        </w:rPr>
        <w:t>Odvolanie a odvolacie konanie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bCs/>
          <w:szCs w:val="24"/>
        </w:rPr>
        <w:t>Preskúmanie rozhodnutia mimo odvolacieho konania</w:t>
      </w:r>
    </w:p>
    <w:p w:rsidR="00413EAB" w:rsidRPr="00B931F0" w:rsidRDefault="00413EAB" w:rsidP="00413EA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snapToGrid w:val="0"/>
          <w:szCs w:val="24"/>
          <w:lang w:eastAsia="cs-CZ"/>
        </w:rPr>
        <w:t>Obnova konania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B931F0">
        <w:rPr>
          <w:rFonts w:cs="Arial"/>
          <w:snapToGrid w:val="0"/>
          <w:szCs w:val="24"/>
          <w:lang w:eastAsia="cs-CZ"/>
        </w:rPr>
        <w:t>Začatie daňového exekučného konania a jeho priebeh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DPH, jej právna úprava a základné pojmy</w:t>
      </w:r>
      <w:r w:rsidR="0056255B">
        <w:rPr>
          <w:rFonts w:cs="Arial"/>
          <w:snapToGrid w:val="0"/>
          <w:szCs w:val="24"/>
          <w:lang w:eastAsia="cs-CZ"/>
        </w:rPr>
        <w:t xml:space="preserve"> – ekonomická činnosť, zdaniteľná osoba, platiteľ dane, osoba povinná platiť daň správcovi dane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Registračná povinnosť pri DPH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Podstata, druhy a miesto zdaniteľných obchodov pri DPH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 xml:space="preserve">Základ dane a vznik daňovej povinnosti pri DPH  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Odpočítanie DPH, pomerné odpočítanie DPH a nadmerný odpočet pri DPH</w:t>
      </w:r>
    </w:p>
    <w:p w:rsidR="0056255B" w:rsidRPr="0056255B" w:rsidRDefault="0056255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Daň z príjmov – základné pojmy (daňovník, predmet dane, príjem, </w:t>
      </w:r>
      <w:r w:rsidR="007312F3">
        <w:rPr>
          <w:rFonts w:cs="Arial"/>
          <w:bCs/>
          <w:szCs w:val="24"/>
        </w:rPr>
        <w:t xml:space="preserve">zdaniteľný príjem, </w:t>
      </w:r>
      <w:r>
        <w:rPr>
          <w:rFonts w:cs="Arial"/>
          <w:bCs/>
          <w:szCs w:val="24"/>
        </w:rPr>
        <w:t>daňovník s obmedzenou daňovou povinnosťou, daňovník s neobmedzenou daňovou povinnosťou, základ dane, obchodný majetok</w:t>
      </w:r>
      <w:r w:rsidR="00746596">
        <w:rPr>
          <w:rFonts w:cs="Arial"/>
          <w:bCs/>
          <w:szCs w:val="24"/>
        </w:rPr>
        <w:t>)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Predmet a základ dane z príjmov FO pri príjmoch zo závislej činnosti</w:t>
      </w:r>
    </w:p>
    <w:p w:rsidR="0056255B" w:rsidRDefault="00413EAB" w:rsidP="0056255B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Predmet a základ dane z príjmov FO pri príjmoch z</w:t>
      </w:r>
      <w:r w:rsidR="0056255B" w:rsidRPr="0056255B">
        <w:rPr>
          <w:rFonts w:cs="Arial"/>
          <w:snapToGrid w:val="0"/>
          <w:szCs w:val="24"/>
          <w:lang w:eastAsia="cs-CZ"/>
        </w:rPr>
        <w:t> </w:t>
      </w:r>
      <w:r w:rsidRPr="0056255B">
        <w:rPr>
          <w:rFonts w:cs="Arial"/>
          <w:snapToGrid w:val="0"/>
          <w:szCs w:val="24"/>
          <w:lang w:eastAsia="cs-CZ"/>
        </w:rPr>
        <w:t>podnikania</w:t>
      </w:r>
      <w:r w:rsidR="0056255B" w:rsidRPr="0056255B">
        <w:rPr>
          <w:rFonts w:cs="Arial"/>
          <w:snapToGrid w:val="0"/>
          <w:szCs w:val="24"/>
          <w:lang w:eastAsia="cs-CZ"/>
        </w:rPr>
        <w:t xml:space="preserve"> z </w:t>
      </w:r>
      <w:r w:rsidRPr="0056255B">
        <w:rPr>
          <w:rFonts w:cs="Arial"/>
          <w:snapToGrid w:val="0"/>
          <w:szCs w:val="24"/>
          <w:lang w:eastAsia="cs-CZ"/>
        </w:rPr>
        <w:t>inej samostatnej zárobkovej činnosti, z prenájmu a z použitia diela a umeleckého výkonu</w:t>
      </w:r>
    </w:p>
    <w:p w:rsidR="00413EAB" w:rsidRPr="00684287" w:rsidRDefault="00413EAB" w:rsidP="00684287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56255B">
        <w:rPr>
          <w:rFonts w:cs="Arial"/>
          <w:snapToGrid w:val="0"/>
          <w:szCs w:val="24"/>
          <w:lang w:eastAsia="cs-CZ"/>
        </w:rPr>
        <w:t>Predmet a  základ dane z príjmov FO pri príjmoch z kapitálového majetku</w:t>
      </w:r>
      <w:r w:rsidR="00684287">
        <w:rPr>
          <w:rFonts w:cs="Arial"/>
          <w:snapToGrid w:val="0"/>
          <w:szCs w:val="24"/>
          <w:lang w:eastAsia="cs-CZ"/>
        </w:rPr>
        <w:t xml:space="preserve"> a</w:t>
      </w:r>
      <w:r w:rsidRPr="00684287">
        <w:rPr>
          <w:rFonts w:cs="Arial"/>
          <w:snapToGrid w:val="0"/>
          <w:szCs w:val="24"/>
          <w:lang w:eastAsia="cs-CZ"/>
        </w:rPr>
        <w:t xml:space="preserve"> pri ostatných príjmoch</w:t>
      </w:r>
    </w:p>
    <w:p w:rsidR="00746596" w:rsidRDefault="00746596" w:rsidP="00746596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Príjmy FO oslobodené od dane</w:t>
      </w:r>
    </w:p>
    <w:p w:rsidR="00746596" w:rsidRDefault="00413EAB" w:rsidP="00746596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746596">
        <w:rPr>
          <w:rFonts w:cs="Arial"/>
          <w:snapToGrid w:val="0"/>
          <w:szCs w:val="24"/>
          <w:lang w:eastAsia="cs-CZ"/>
        </w:rPr>
        <w:t>Predmet a základ dane z príjmov PO</w:t>
      </w:r>
      <w:r w:rsidR="00746596">
        <w:rPr>
          <w:rFonts w:cs="Arial"/>
          <w:snapToGrid w:val="0"/>
          <w:szCs w:val="24"/>
          <w:lang w:eastAsia="cs-CZ"/>
        </w:rPr>
        <w:t>, oslobodenie od dane</w:t>
      </w:r>
    </w:p>
    <w:p w:rsidR="00746596" w:rsidRDefault="00413EAB" w:rsidP="00746596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746596">
        <w:rPr>
          <w:rFonts w:cs="Arial"/>
          <w:bCs/>
          <w:szCs w:val="24"/>
        </w:rPr>
        <w:t>Daň z motorových vozidiel</w:t>
      </w:r>
    </w:p>
    <w:p w:rsidR="00684287" w:rsidRPr="00684287" w:rsidRDefault="00413EAB" w:rsidP="00746596">
      <w:pPr>
        <w:numPr>
          <w:ilvl w:val="0"/>
          <w:numId w:val="1"/>
        </w:numPr>
        <w:ind w:right="-2"/>
        <w:jc w:val="both"/>
        <w:rPr>
          <w:rFonts w:cs="Arial"/>
          <w:bCs/>
          <w:szCs w:val="24"/>
        </w:rPr>
      </w:pPr>
      <w:r w:rsidRPr="00746596">
        <w:rPr>
          <w:rFonts w:cs="Arial"/>
          <w:snapToGrid w:val="0"/>
          <w:szCs w:val="24"/>
          <w:lang w:eastAsia="cs-CZ"/>
        </w:rPr>
        <w:t>Miestne dane, ich právna úprava a všeobecná charakteristika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Rozpočtové právo, rozpočtová sústava a pramene rozpočtového práva.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Charakteristika príjmov a výdavkov štátneho rozpočtu, zákon o štátnom rozpočte a jeho obsah.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Rozpočtové zásady a ich uplatnenie v rozpočtovom práve.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Poplatkové právo a jeho charakteristika (pojem poplatok, poplatková sústava v Slovenskej republike a jej právna úprava)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lastRenderedPageBreak/>
        <w:t>Správne poplatky - charakteristika, vyberanie, platenie, oslobodenie od platenia a správa.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Súdne poplatky - charakteristika, vyberanie, platenie, oslobodenie od platenia a správa.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Clo, jeho podstata, funkcie, druhy a základný rámec právnej úpravy cla v SR.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Colné konanie, subjekty vystupujúce v colnoprávnom vzťahu, platenie cla.</w:t>
      </w:r>
    </w:p>
    <w:p w:rsidR="00684287" w:rsidRP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Colný dohľad a colná kontrola. Sankcie za porušenie colných predpisov.</w:t>
      </w:r>
    </w:p>
    <w:p w:rsidR="00684287" w:rsidRDefault="00684287" w:rsidP="00684287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4287">
        <w:rPr>
          <w:rFonts w:ascii="Arial" w:hAnsi="Arial" w:cs="Arial"/>
          <w:color w:val="000000"/>
        </w:rPr>
        <w:t>Majetok štátu, správa majetku štátu a obsah správy majetku štátu podľa zákona NR SR č. 278/1993 Z. z. o správe majetku štátu</w:t>
      </w:r>
    </w:p>
    <w:p w:rsidR="00684287" w:rsidRDefault="00684287" w:rsidP="00684287">
      <w:pPr>
        <w:pStyle w:val="Normlnywebov"/>
        <w:spacing w:before="0" w:beforeAutospacing="0" w:after="0" w:afterAutospacing="0"/>
        <w:ind w:left="567"/>
        <w:rPr>
          <w:rFonts w:ascii="Arial" w:hAnsi="Arial" w:cs="Arial"/>
          <w:color w:val="000000"/>
        </w:rPr>
      </w:pPr>
    </w:p>
    <w:p w:rsidR="00684287" w:rsidRDefault="00684287" w:rsidP="00684287">
      <w:pPr>
        <w:pStyle w:val="Normlnywebov"/>
        <w:spacing w:before="0" w:beforeAutospacing="0" w:after="0" w:afterAutospacing="0"/>
        <w:ind w:left="567"/>
        <w:rPr>
          <w:rFonts w:ascii="Arial" w:hAnsi="Arial" w:cs="Arial"/>
          <w:color w:val="000000"/>
        </w:rPr>
      </w:pPr>
    </w:p>
    <w:p w:rsidR="00684287" w:rsidRPr="00684287" w:rsidRDefault="00684287" w:rsidP="00684287">
      <w:pPr>
        <w:pStyle w:val="Normlnywebov"/>
        <w:spacing w:before="0" w:beforeAutospacing="0" w:after="0" w:afterAutospacing="0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Trnave dňa 28.02.201</w:t>
      </w:r>
      <w:r w:rsidR="00E15D5F">
        <w:rPr>
          <w:rFonts w:ascii="Arial" w:hAnsi="Arial" w:cs="Arial"/>
          <w:color w:val="000000"/>
        </w:rPr>
        <w:t>9</w:t>
      </w:r>
    </w:p>
    <w:sectPr w:rsidR="00684287" w:rsidRPr="0068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7C3"/>
    <w:multiLevelType w:val="hybridMultilevel"/>
    <w:tmpl w:val="3B187622"/>
    <w:lvl w:ilvl="0" w:tplc="9BD0000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09C"/>
    <w:multiLevelType w:val="singleLevel"/>
    <w:tmpl w:val="38D6F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761856E1"/>
    <w:multiLevelType w:val="hybridMultilevel"/>
    <w:tmpl w:val="9BF8F630"/>
    <w:lvl w:ilvl="0" w:tplc="4ADC62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AB"/>
    <w:rsid w:val="00161C4A"/>
    <w:rsid w:val="00413EAB"/>
    <w:rsid w:val="0056255B"/>
    <w:rsid w:val="00684287"/>
    <w:rsid w:val="007312F3"/>
    <w:rsid w:val="00746596"/>
    <w:rsid w:val="00A057DF"/>
    <w:rsid w:val="00E15D5F"/>
    <w:rsid w:val="00FB650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018F"/>
  <w15:chartTrackingRefBased/>
  <w15:docId w15:val="{2FCFACAC-BF88-415F-9AF1-E10CC9BE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E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413EAB"/>
    <w:pPr>
      <w:keepNext/>
      <w:jc w:val="both"/>
      <w:outlineLvl w:val="6"/>
    </w:pPr>
    <w:rPr>
      <w:b/>
      <w:sz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413EA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rmlnywebov">
    <w:name w:val="Normal (Web)"/>
    <w:basedOn w:val="Normlny"/>
    <w:uiPriority w:val="99"/>
    <w:semiHidden/>
    <w:unhideWhenUsed/>
    <w:rsid w:val="0068428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Masarova</dc:creator>
  <cp:keywords/>
  <dc:description/>
  <cp:lastModifiedBy>Lubica Masarova</cp:lastModifiedBy>
  <cp:revision>2</cp:revision>
  <dcterms:created xsi:type="dcterms:W3CDTF">2020-04-16T10:20:00Z</dcterms:created>
  <dcterms:modified xsi:type="dcterms:W3CDTF">2020-04-16T10:20:00Z</dcterms:modified>
</cp:coreProperties>
</file>